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F770" w14:textId="731509B7" w:rsidR="00090729" w:rsidRDefault="007322A7">
      <w:r>
        <w:rPr>
          <w:noProof/>
        </w:rPr>
        <mc:AlternateContent>
          <mc:Choice Requires="wps">
            <w:drawing>
              <wp:anchor distT="45720" distB="45720" distL="114300" distR="114300" simplePos="0" relativeHeight="251659264" behindDoc="0" locked="0" layoutInCell="1" allowOverlap="1" wp14:anchorId="7502118A" wp14:editId="3CF8C6F2">
                <wp:simplePos x="0" y="0"/>
                <wp:positionH relativeFrom="margin">
                  <wp:align>right</wp:align>
                </wp:positionH>
                <wp:positionV relativeFrom="paragraph">
                  <wp:posOffset>0</wp:posOffset>
                </wp:positionV>
                <wp:extent cx="5775960" cy="1404620"/>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404620"/>
                        </a:xfrm>
                        <a:prstGeom prst="rect">
                          <a:avLst/>
                        </a:prstGeom>
                        <a:solidFill>
                          <a:srgbClr val="FFC000"/>
                        </a:solidFill>
                        <a:ln w="9525">
                          <a:solidFill>
                            <a:srgbClr val="000000"/>
                          </a:solidFill>
                          <a:miter lim="800000"/>
                          <a:headEnd/>
                          <a:tailEnd/>
                        </a:ln>
                      </wps:spPr>
                      <wps:txbx>
                        <w:txbxContent>
                          <w:p w14:paraId="10C79321" w14:textId="77777777" w:rsidR="00796B33" w:rsidRDefault="00796B33" w:rsidP="00796B33">
                            <w:pPr>
                              <w:jc w:val="center"/>
                            </w:pPr>
                            <w:r>
                              <w:rPr>
                                <w:noProof/>
                              </w:rPr>
                              <w:drawing>
                                <wp:inline distT="0" distB="0" distL="0" distR="0" wp14:anchorId="77FAE7DC" wp14:editId="29712ACA">
                                  <wp:extent cx="899160" cy="755479"/>
                                  <wp:effectExtent l="0" t="0" r="0" b="6985"/>
                                  <wp:docPr id="639572074" name="Picture 1" descr="A colorful circle with people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72074" name="Picture 1" descr="A colorful circle with people around it&#10;&#10;AI-generated content may be incorrect."/>
                                          <pic:cNvPicPr/>
                                        </pic:nvPicPr>
                                        <pic:blipFill>
                                          <a:blip r:embed="rId5">
                                            <a:extLst>
                                              <a:ext uri="{BEBA8EAE-BF5A-486C-A8C5-ECC9F3942E4B}">
                                                <a14:imgProps xmlns:a14="http://schemas.microsoft.com/office/drawing/2010/main">
                                                  <a14:imgLayer r:embed="rId6">
                                                    <a14:imgEffect>
                                                      <a14:backgroundRemoval t="6135" b="95092" l="9794" r="89691">
                                                        <a14:foregroundMark x1="48969" y1="6135" x2="48969" y2="6135"/>
                                                        <a14:foregroundMark x1="30412" y1="86503" x2="30412" y2="86503"/>
                                                        <a14:foregroundMark x1="65979" y1="85890" x2="65979" y2="85890"/>
                                                        <a14:foregroundMark x1="55155" y1="95092" x2="55155" y2="95092"/>
                                                      </a14:backgroundRemoval>
                                                    </a14:imgEffect>
                                                  </a14:imgLayer>
                                                </a14:imgProps>
                                              </a:ext>
                                              <a:ext uri="{28A0092B-C50C-407E-A947-70E740481C1C}">
                                                <a14:useLocalDpi xmlns:a14="http://schemas.microsoft.com/office/drawing/2010/main" val="0"/>
                                              </a:ext>
                                            </a:extLst>
                                          </a:blip>
                                          <a:stretch>
                                            <a:fillRect/>
                                          </a:stretch>
                                        </pic:blipFill>
                                        <pic:spPr>
                                          <a:xfrm>
                                            <a:off x="0" y="0"/>
                                            <a:ext cx="902867" cy="758594"/>
                                          </a:xfrm>
                                          <a:prstGeom prst="rect">
                                            <a:avLst/>
                                          </a:prstGeom>
                                        </pic:spPr>
                                      </pic:pic>
                                    </a:graphicData>
                                  </a:graphic>
                                </wp:inline>
                              </w:drawing>
                            </w:r>
                          </w:p>
                          <w:p w14:paraId="132E906E" w14:textId="3E6055C7" w:rsidR="007322A7" w:rsidRPr="00796B33" w:rsidRDefault="007322A7" w:rsidP="00796B33">
                            <w:pPr>
                              <w:spacing w:line="240" w:lineRule="auto"/>
                              <w:contextualSpacing/>
                              <w:jc w:val="center"/>
                              <w:rPr>
                                <w:b/>
                                <w:bCs/>
                                <w:sz w:val="36"/>
                                <w:szCs w:val="36"/>
                              </w:rPr>
                            </w:pPr>
                            <w:r w:rsidRPr="00796B33">
                              <w:rPr>
                                <w:b/>
                                <w:bCs/>
                                <w:sz w:val="36"/>
                                <w:szCs w:val="36"/>
                              </w:rPr>
                              <w:t>Support Worker</w:t>
                            </w:r>
                          </w:p>
                          <w:p w14:paraId="7FEDA038" w14:textId="63270BD5" w:rsidR="007322A7" w:rsidRDefault="007322A7" w:rsidP="00796B33">
                            <w:pPr>
                              <w:spacing w:line="240" w:lineRule="auto"/>
                              <w:contextualSpacing/>
                              <w:jc w:val="center"/>
                            </w:pPr>
                            <w:r>
                              <w:t>Nimkee Nupigawagan Healing Centre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2118A" id="_x0000_t202" coordsize="21600,21600" o:spt="202" path="m,l,21600r21600,l21600,xe">
                <v:stroke joinstyle="miter"/>
                <v:path gradientshapeok="t" o:connecttype="rect"/>
              </v:shapetype>
              <v:shape id="Text Box 2" o:spid="_x0000_s1026" type="#_x0000_t202" style="position:absolute;margin-left:403.6pt;margin-top:0;width:454.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" fillcolor="#ffc000">
                <v:textbox style="mso-fit-shape-to-text:t">
                  <w:txbxContent>
                    <w:p w14:paraId="10C79321" w14:textId="77777777" w:rsidR="00796B33" w:rsidRDefault="00796B33" w:rsidP="00796B33">
                      <w:pPr>
                        <w:jc w:val="center"/>
                      </w:pPr>
                      <w:r>
                        <w:rPr>
                          <w:noProof/>
                        </w:rPr>
                        <w:drawing>
                          <wp:inline distT="0" distB="0" distL="0" distR="0" wp14:anchorId="77FAE7DC" wp14:editId="29712ACA">
                            <wp:extent cx="899160" cy="755479"/>
                            <wp:effectExtent l="0" t="0" r="0" b="6985"/>
                            <wp:docPr id="639572074" name="Picture 1" descr="A colorful circle with people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72074" name="Picture 1" descr="A colorful circle with people around it&#10;&#10;AI-generated content may be incorrect."/>
                                    <pic:cNvPicPr/>
                                  </pic:nvPicPr>
                                  <pic:blipFill>
                                    <a:blip r:embed="rId7">
                                      <a:extLst>
                                        <a:ext uri="{BEBA8EAE-BF5A-486C-A8C5-ECC9F3942E4B}">
                                          <a14:imgProps xmlns:a14="http://schemas.microsoft.com/office/drawing/2010/main">
                                            <a14:imgLayer r:embed="rId8">
                                              <a14:imgEffect>
                                                <a14:backgroundRemoval t="6135" b="95092" l="9794" r="89691">
                                                  <a14:foregroundMark x1="48969" y1="6135" x2="48969" y2="6135"/>
                                                  <a14:foregroundMark x1="30412" y1="86503" x2="30412" y2="86503"/>
                                                  <a14:foregroundMark x1="65979" y1="85890" x2="65979" y2="85890"/>
                                                  <a14:foregroundMark x1="55155" y1="95092" x2="55155" y2="95092"/>
                                                </a14:backgroundRemoval>
                                              </a14:imgEffect>
                                            </a14:imgLayer>
                                          </a14:imgProps>
                                        </a:ext>
                                        <a:ext uri="{28A0092B-C50C-407E-A947-70E740481C1C}">
                                          <a14:useLocalDpi xmlns:a14="http://schemas.microsoft.com/office/drawing/2010/main" val="0"/>
                                        </a:ext>
                                      </a:extLst>
                                    </a:blip>
                                    <a:stretch>
                                      <a:fillRect/>
                                    </a:stretch>
                                  </pic:blipFill>
                                  <pic:spPr>
                                    <a:xfrm>
                                      <a:off x="0" y="0"/>
                                      <a:ext cx="902867" cy="758594"/>
                                    </a:xfrm>
                                    <a:prstGeom prst="rect">
                                      <a:avLst/>
                                    </a:prstGeom>
                                  </pic:spPr>
                                </pic:pic>
                              </a:graphicData>
                            </a:graphic>
                          </wp:inline>
                        </w:drawing>
                      </w:r>
                    </w:p>
                    <w:p w14:paraId="132E906E" w14:textId="3E6055C7" w:rsidR="007322A7" w:rsidRPr="00796B33" w:rsidRDefault="007322A7" w:rsidP="00796B33">
                      <w:pPr>
                        <w:spacing w:line="240" w:lineRule="auto"/>
                        <w:contextualSpacing/>
                        <w:jc w:val="center"/>
                        <w:rPr>
                          <w:b/>
                          <w:bCs/>
                          <w:sz w:val="36"/>
                          <w:szCs w:val="36"/>
                        </w:rPr>
                      </w:pPr>
                      <w:r w:rsidRPr="00796B33">
                        <w:rPr>
                          <w:b/>
                          <w:bCs/>
                          <w:sz w:val="36"/>
                          <w:szCs w:val="36"/>
                        </w:rPr>
                        <w:t>Support Worker</w:t>
                      </w:r>
                    </w:p>
                    <w:p w14:paraId="7FEDA038" w14:textId="63270BD5" w:rsidR="007322A7" w:rsidRDefault="007322A7" w:rsidP="00796B33">
                      <w:pPr>
                        <w:spacing w:line="240" w:lineRule="auto"/>
                        <w:contextualSpacing/>
                        <w:jc w:val="center"/>
                      </w:pPr>
                      <w:r>
                        <w:t>Nimkee Nupigawagan Healing Centre</w:t>
                      </w:r>
                    </w:p>
                  </w:txbxContent>
                </v:textbox>
                <w10:wrap type="square" anchorx="margin"/>
              </v:shape>
            </w:pict>
          </mc:Fallback>
        </mc:AlternateContent>
      </w:r>
    </w:p>
    <w:p w14:paraId="0649E40B" w14:textId="062F0B62" w:rsidR="00C94BC5" w:rsidRDefault="00C94BC5">
      <w:pPr>
        <w:rPr>
          <w:b/>
          <w:bCs/>
        </w:rPr>
      </w:pPr>
      <w:r>
        <w:rPr>
          <w:b/>
          <w:bCs/>
        </w:rPr>
        <w:t>Wage Rate: $</w:t>
      </w:r>
      <w:r w:rsidRPr="00C94BC5">
        <w:t>22- $25</w:t>
      </w:r>
    </w:p>
    <w:p w14:paraId="1EC981B1" w14:textId="123B416E" w:rsidR="007322A7" w:rsidRPr="007322A7" w:rsidRDefault="007322A7">
      <w:pPr>
        <w:rPr>
          <w:b/>
          <w:bCs/>
        </w:rPr>
      </w:pPr>
      <w:r w:rsidRPr="007322A7">
        <w:rPr>
          <w:b/>
          <w:bCs/>
        </w:rPr>
        <w:t>Summary:</w:t>
      </w:r>
    </w:p>
    <w:p w14:paraId="53147852" w14:textId="76399FD9" w:rsidR="007322A7" w:rsidRDefault="007322A7" w:rsidP="007322A7">
      <w:r>
        <w:t xml:space="preserve">The Support Worker at Nimkee Nupigawagan Healing Centre  is someone who supports vulnerable youth to help them make the most of their healing journey. They help them achieve physical, mental, emotional and spiritual wellness </w:t>
      </w:r>
      <w:proofErr w:type="gramStart"/>
      <w:r>
        <w:t>in order to</w:t>
      </w:r>
      <w:proofErr w:type="gramEnd"/>
      <w:r>
        <w:t xml:space="preserve"> live a healthy life and achieve their life goals by offering support in each of the four quadrants of the medicine wheel (physical, mental, emotional, spiritual) which is surrounded by social support.</w:t>
      </w:r>
    </w:p>
    <w:p w14:paraId="377F0881" w14:textId="5FA870F4" w:rsidR="007322A7" w:rsidRDefault="007322A7" w:rsidP="007322A7">
      <w:r>
        <w:t>The role of a Support Worker is hugely varied. Each young person has their own individual needs and so support is tailored to each person</w:t>
      </w:r>
      <w:r w:rsidR="00796B33">
        <w:t xml:space="preserve"> and</w:t>
      </w:r>
      <w:r>
        <w:t xml:space="preserve"> part and </w:t>
      </w:r>
      <w:proofErr w:type="gramStart"/>
      <w:r>
        <w:t xml:space="preserve">parcel </w:t>
      </w:r>
      <w:r w:rsidR="00796B33">
        <w:t xml:space="preserve"> of</w:t>
      </w:r>
      <w:proofErr w:type="gramEnd"/>
      <w:r w:rsidR="00796B33">
        <w:t xml:space="preserve"> this, is </w:t>
      </w:r>
      <w:r>
        <w:t>recognizing individual gifts and individual challenges.</w:t>
      </w:r>
      <w:r w:rsidRPr="007322A7">
        <w:t xml:space="preserve"> Making new memories, celebrating accomplishments and sharing </w:t>
      </w:r>
      <w:r>
        <w:t xml:space="preserve">lived </w:t>
      </w:r>
      <w:r w:rsidRPr="007322A7">
        <w:t xml:space="preserve">experiences together are some of the most enjoyable aspects of the role. </w:t>
      </w:r>
      <w:r>
        <w:t>The Support Worker</w:t>
      </w:r>
      <w:r w:rsidRPr="007322A7">
        <w:t xml:space="preserve"> </w:t>
      </w:r>
      <w:r w:rsidR="00796B33">
        <w:t>will help youth</w:t>
      </w:r>
      <w:r w:rsidRPr="007322A7">
        <w:t xml:space="preserve"> to overcome obstacles and gain confidence and self esteem to mak</w:t>
      </w:r>
      <w:r>
        <w:t>e positive life choices</w:t>
      </w:r>
      <w:r w:rsidR="00796B33">
        <w:t xml:space="preserve"> during their time at the Centre.</w:t>
      </w:r>
    </w:p>
    <w:p w14:paraId="7ED7BBF9" w14:textId="270795D4" w:rsidR="007322A7" w:rsidRPr="007322A7" w:rsidRDefault="007322A7" w:rsidP="007322A7">
      <w:pPr>
        <w:rPr>
          <w:b/>
          <w:bCs/>
        </w:rPr>
      </w:pPr>
      <w:r w:rsidRPr="007322A7">
        <w:rPr>
          <w:b/>
          <w:bCs/>
        </w:rPr>
        <w:t>Responsibilities:</w:t>
      </w:r>
    </w:p>
    <w:p w14:paraId="44E497B3" w14:textId="1A8B448E" w:rsidR="00C94BC5" w:rsidRDefault="007322A7" w:rsidP="00C94BC5">
      <w:r>
        <w:t>Under the direction of the Shift Supervisor</w:t>
      </w:r>
      <w:r w:rsidR="00796B33">
        <w:t>,</w:t>
      </w:r>
      <w:r>
        <w:t xml:space="preserve"> Youth Facilitator/Counsellor Lead, </w:t>
      </w:r>
      <w:r w:rsidR="00796B33">
        <w:t xml:space="preserve">or Teacher, </w:t>
      </w:r>
      <w:r>
        <w:t>the Support Worker will:</w:t>
      </w:r>
    </w:p>
    <w:p w14:paraId="109C932F" w14:textId="77777777" w:rsidR="00C94BC5" w:rsidRDefault="00C94BC5" w:rsidP="00C94BC5">
      <w:pPr>
        <w:pStyle w:val="ListParagraph"/>
        <w:numPr>
          <w:ilvl w:val="0"/>
          <w:numId w:val="1"/>
        </w:numPr>
      </w:pPr>
      <w:r>
        <w:t>Monitoring progress and adjusting strategies as circumstances evolve.</w:t>
      </w:r>
    </w:p>
    <w:p w14:paraId="61C72DCA" w14:textId="77777777" w:rsidR="00C94BC5" w:rsidRDefault="00C94BC5" w:rsidP="00C94BC5">
      <w:pPr>
        <w:pStyle w:val="ListParagraph"/>
        <w:numPr>
          <w:ilvl w:val="0"/>
          <w:numId w:val="1"/>
        </w:numPr>
      </w:pPr>
      <w:r>
        <w:t>Providing guidance for skill-building and personal development.</w:t>
      </w:r>
    </w:p>
    <w:p w14:paraId="313495AB" w14:textId="77777777" w:rsidR="00C94BC5" w:rsidRDefault="00C94BC5" w:rsidP="00C94BC5">
      <w:pPr>
        <w:pStyle w:val="ListParagraph"/>
        <w:numPr>
          <w:ilvl w:val="0"/>
          <w:numId w:val="1"/>
        </w:numPr>
      </w:pPr>
      <w:r>
        <w:t>Educating individuals on self-care techniques and coping strategies.</w:t>
      </w:r>
    </w:p>
    <w:p w14:paraId="495EA18E" w14:textId="77777777" w:rsidR="00C94BC5" w:rsidRDefault="00C94BC5" w:rsidP="00C94BC5">
      <w:pPr>
        <w:pStyle w:val="ListParagraph"/>
        <w:numPr>
          <w:ilvl w:val="0"/>
          <w:numId w:val="1"/>
        </w:numPr>
      </w:pPr>
      <w:r>
        <w:t>Promoting inclusion, diversity, and cultural sensitivity.</w:t>
      </w:r>
    </w:p>
    <w:p w14:paraId="4E6895A8" w14:textId="77777777" w:rsidR="00C94BC5" w:rsidRDefault="00C94BC5" w:rsidP="00C94BC5">
      <w:pPr>
        <w:pStyle w:val="ListParagraph"/>
        <w:numPr>
          <w:ilvl w:val="0"/>
          <w:numId w:val="1"/>
        </w:numPr>
      </w:pPr>
      <w:r>
        <w:t>Addressing crisis situations and offering immediate support.</w:t>
      </w:r>
    </w:p>
    <w:p w14:paraId="408CA466" w14:textId="11140440" w:rsidR="007322A7" w:rsidRDefault="00C94BC5" w:rsidP="00C94BC5">
      <w:pPr>
        <w:pStyle w:val="ListParagraph"/>
        <w:numPr>
          <w:ilvl w:val="0"/>
          <w:numId w:val="1"/>
        </w:numPr>
      </w:pPr>
      <w:r>
        <w:t xml:space="preserve">Maintaining accurate documentation of interactions and progress. </w:t>
      </w:r>
      <w:r w:rsidR="007322A7">
        <w:t xml:space="preserve">Assisting youth with daily personal care routines, such as sleeping routines, personal hygiene, </w:t>
      </w:r>
    </w:p>
    <w:p w14:paraId="5C18E8C0" w14:textId="77777777" w:rsidR="007322A7" w:rsidRDefault="007322A7" w:rsidP="007322A7">
      <w:pPr>
        <w:pStyle w:val="ListParagraph"/>
        <w:numPr>
          <w:ilvl w:val="0"/>
          <w:numId w:val="1"/>
        </w:numPr>
      </w:pPr>
      <w:r>
        <w:t>Demonstrating life skills in the areas of careers, cooking, asking for help, relationships, etc.</w:t>
      </w:r>
    </w:p>
    <w:p w14:paraId="773194A7" w14:textId="46FD2462" w:rsidR="005E38FC" w:rsidRDefault="005E38FC" w:rsidP="007322A7">
      <w:pPr>
        <w:pStyle w:val="ListParagraph"/>
        <w:numPr>
          <w:ilvl w:val="0"/>
          <w:numId w:val="1"/>
        </w:numPr>
      </w:pPr>
      <w:r>
        <w:t xml:space="preserve">Offering emotional support and </w:t>
      </w:r>
      <w:proofErr w:type="gramStart"/>
      <w:r>
        <w:t>being a good listener at all times</w:t>
      </w:r>
      <w:proofErr w:type="gramEnd"/>
      <w:r>
        <w:t>.</w:t>
      </w:r>
    </w:p>
    <w:p w14:paraId="41DD49F4" w14:textId="4B18065C" w:rsidR="007322A7" w:rsidRDefault="007322A7" w:rsidP="007322A7">
      <w:pPr>
        <w:pStyle w:val="ListParagraph"/>
        <w:numPr>
          <w:ilvl w:val="0"/>
          <w:numId w:val="1"/>
        </w:numPr>
      </w:pPr>
      <w:r>
        <w:t xml:space="preserve">Helping in evaluating </w:t>
      </w:r>
      <w:r w:rsidR="00C94BC5">
        <w:t>youth’s</w:t>
      </w:r>
      <w:r>
        <w:t xml:space="preserve"> practical and emotional needs and assisting with creating support/Care plans</w:t>
      </w:r>
      <w:r w:rsidR="00C94BC5">
        <w:t>.</w:t>
      </w:r>
    </w:p>
    <w:p w14:paraId="562E35AA" w14:textId="1125D2CF" w:rsidR="007322A7" w:rsidRDefault="007322A7" w:rsidP="007322A7">
      <w:pPr>
        <w:pStyle w:val="ListParagraph"/>
        <w:numPr>
          <w:ilvl w:val="0"/>
          <w:numId w:val="1"/>
        </w:numPr>
      </w:pPr>
      <w:r>
        <w:t xml:space="preserve">Monitoring the mental health and wellbeing of </w:t>
      </w:r>
      <w:r w:rsidR="00C94BC5">
        <w:t>youth</w:t>
      </w:r>
      <w:r>
        <w:t xml:space="preserve"> and reporting any significant changes and providing space to listen, reflect and make plans.</w:t>
      </w:r>
    </w:p>
    <w:p w14:paraId="501F548D" w14:textId="77777777" w:rsidR="007322A7" w:rsidRDefault="007322A7" w:rsidP="007322A7">
      <w:pPr>
        <w:pStyle w:val="ListParagraph"/>
        <w:numPr>
          <w:ilvl w:val="0"/>
          <w:numId w:val="1"/>
        </w:numPr>
      </w:pPr>
      <w:r>
        <w:lastRenderedPageBreak/>
        <w:t>Providing emotional support to service users and families by listening to and discussing concerns</w:t>
      </w:r>
    </w:p>
    <w:p w14:paraId="1EAD10EB" w14:textId="3595611B" w:rsidR="007322A7" w:rsidRDefault="007322A7" w:rsidP="007322A7">
      <w:pPr>
        <w:pStyle w:val="ListParagraph"/>
        <w:numPr>
          <w:ilvl w:val="0"/>
          <w:numId w:val="1"/>
        </w:numPr>
      </w:pPr>
      <w:r>
        <w:t>Encouraging youth to achieve personal goals and always being respectful of their  positive choices.</w:t>
      </w:r>
    </w:p>
    <w:p w14:paraId="2C274C3D" w14:textId="71BC8533" w:rsidR="007322A7" w:rsidRDefault="007322A7" w:rsidP="007322A7">
      <w:pPr>
        <w:pStyle w:val="ListParagraph"/>
        <w:numPr>
          <w:ilvl w:val="0"/>
          <w:numId w:val="1"/>
        </w:numPr>
      </w:pPr>
      <w:r>
        <w:t xml:space="preserve">Implement behaviour support plans and make </w:t>
      </w:r>
      <w:r w:rsidR="00796B33">
        <w:t>ensure that plans are followed and documented.</w:t>
      </w:r>
    </w:p>
    <w:p w14:paraId="4F77BB45" w14:textId="1FE6CA00" w:rsidR="005E38FC" w:rsidRDefault="005E38FC" w:rsidP="007322A7">
      <w:pPr>
        <w:pStyle w:val="ListParagraph"/>
        <w:numPr>
          <w:ilvl w:val="0"/>
          <w:numId w:val="1"/>
        </w:numPr>
      </w:pPr>
      <w:r>
        <w:t>Assisting with transporting youth appointments for medical, dental, psycho-educational, optometry etc.</w:t>
      </w:r>
    </w:p>
    <w:p w14:paraId="4BDE0CF2" w14:textId="4C5A7092" w:rsidR="00796B33" w:rsidRDefault="00796B33" w:rsidP="007322A7">
      <w:pPr>
        <w:pStyle w:val="ListParagraph"/>
        <w:numPr>
          <w:ilvl w:val="0"/>
          <w:numId w:val="1"/>
        </w:numPr>
      </w:pPr>
      <w:r>
        <w:t>:Provide support on field trips, traditional teachings, and ceremonies.</w:t>
      </w:r>
    </w:p>
    <w:p w14:paraId="51E2B27E" w14:textId="30C0E38E" w:rsidR="00C94BC5" w:rsidRDefault="00C94BC5" w:rsidP="007322A7">
      <w:pPr>
        <w:pStyle w:val="ListParagraph"/>
        <w:numPr>
          <w:ilvl w:val="0"/>
          <w:numId w:val="1"/>
        </w:numPr>
      </w:pPr>
      <w:r>
        <w:t>Accept shifts that may moderate between daytime and night shifts.</w:t>
      </w:r>
    </w:p>
    <w:p w14:paraId="344D85B0" w14:textId="70C5DC8E" w:rsidR="00796B33" w:rsidRDefault="00796B33" w:rsidP="007322A7">
      <w:pPr>
        <w:pStyle w:val="ListParagraph"/>
        <w:numPr>
          <w:ilvl w:val="0"/>
          <w:numId w:val="1"/>
        </w:numPr>
      </w:pPr>
      <w:r>
        <w:t>Keep case notes on shift and provide shift summaries for files.</w:t>
      </w:r>
    </w:p>
    <w:p w14:paraId="69EA86ED" w14:textId="4376033D" w:rsidR="00C94BC5" w:rsidRDefault="00C94BC5" w:rsidP="007322A7">
      <w:pPr>
        <w:pStyle w:val="ListParagraph"/>
        <w:numPr>
          <w:ilvl w:val="0"/>
          <w:numId w:val="1"/>
        </w:numPr>
      </w:pPr>
      <w:r>
        <w:t>Collaborating with other professionals internally and externally to the agency.</w:t>
      </w:r>
    </w:p>
    <w:p w14:paraId="75BF0B34" w14:textId="6AB561BD" w:rsidR="00796B33" w:rsidRDefault="00796B33" w:rsidP="007322A7">
      <w:pPr>
        <w:pStyle w:val="ListParagraph"/>
        <w:numPr>
          <w:ilvl w:val="0"/>
          <w:numId w:val="1"/>
        </w:numPr>
      </w:pPr>
      <w:r>
        <w:t>Properly supervise young people in our care through established standards and policies.</w:t>
      </w:r>
    </w:p>
    <w:p w14:paraId="608A3339" w14:textId="79F50C27" w:rsidR="007322A7" w:rsidRDefault="00796B33" w:rsidP="007322A7">
      <w:r>
        <w:t>Qualifications:</w:t>
      </w:r>
    </w:p>
    <w:p w14:paraId="5E6D98E7" w14:textId="77777777" w:rsidR="00796B33" w:rsidRDefault="00796B33" w:rsidP="00796B33">
      <w:pPr>
        <w:pStyle w:val="ListParagraph"/>
        <w:numPr>
          <w:ilvl w:val="0"/>
          <w:numId w:val="2"/>
        </w:numPr>
      </w:pPr>
      <w:r>
        <w:t>PSW or DSW certification and /or additional health qualifications.</w:t>
      </w:r>
    </w:p>
    <w:p w14:paraId="43914434" w14:textId="77777777" w:rsidR="00796B33" w:rsidRDefault="00796B33" w:rsidP="00796B33">
      <w:pPr>
        <w:pStyle w:val="ListParagraph"/>
        <w:numPr>
          <w:ilvl w:val="0"/>
          <w:numId w:val="2"/>
        </w:numPr>
      </w:pPr>
      <w:r>
        <w:t>Commitment to helping others and providing dedicated person-centred support</w:t>
      </w:r>
    </w:p>
    <w:p w14:paraId="2C9AC58B" w14:textId="77777777" w:rsidR="00796B33" w:rsidRDefault="00796B33" w:rsidP="00796B33">
      <w:pPr>
        <w:pStyle w:val="ListParagraph"/>
        <w:numPr>
          <w:ilvl w:val="0"/>
          <w:numId w:val="2"/>
        </w:numPr>
      </w:pPr>
      <w:r>
        <w:t>An above-average level of written and spoken English</w:t>
      </w:r>
    </w:p>
    <w:p w14:paraId="56EECE36" w14:textId="77777777" w:rsidR="00796B33" w:rsidRDefault="00796B33" w:rsidP="00796B33">
      <w:pPr>
        <w:pStyle w:val="ListParagraph"/>
        <w:numPr>
          <w:ilvl w:val="0"/>
          <w:numId w:val="2"/>
        </w:numPr>
      </w:pPr>
      <w:r>
        <w:t>Excellent communication and social skills</w:t>
      </w:r>
    </w:p>
    <w:p w14:paraId="7A3345A0" w14:textId="2A8D6CDB" w:rsidR="00796B33" w:rsidRDefault="00796B33" w:rsidP="00796B33">
      <w:pPr>
        <w:pStyle w:val="ListParagraph"/>
        <w:numPr>
          <w:ilvl w:val="0"/>
          <w:numId w:val="2"/>
        </w:numPr>
      </w:pPr>
      <w:r>
        <w:t>Understanding of necessary policies and procedures to ensure a safe environment for young people.</w:t>
      </w:r>
    </w:p>
    <w:p w14:paraId="277F09DE" w14:textId="3FF3D246" w:rsidR="00796B33" w:rsidRDefault="00796B33" w:rsidP="00796B33">
      <w:pPr>
        <w:pStyle w:val="ListParagraph"/>
        <w:numPr>
          <w:ilvl w:val="0"/>
          <w:numId w:val="2"/>
        </w:numPr>
      </w:pPr>
      <w:r>
        <w:t>Satisfactory CPIC /VS- which is an ongoing process.</w:t>
      </w:r>
    </w:p>
    <w:p w14:paraId="519C32BA" w14:textId="711F137A" w:rsidR="00796B33" w:rsidRDefault="00796B33" w:rsidP="00796B33">
      <w:pPr>
        <w:pStyle w:val="ListParagraph"/>
        <w:numPr>
          <w:ilvl w:val="0"/>
          <w:numId w:val="2"/>
        </w:numPr>
      </w:pPr>
      <w:r>
        <w:t>Competent knowledge of Information Technology, Software, and Platforms.</w:t>
      </w:r>
    </w:p>
    <w:p w14:paraId="0A34C28C" w14:textId="0DF81190" w:rsidR="00796B33" w:rsidRDefault="00796B33" w:rsidP="00796B33">
      <w:pPr>
        <w:pStyle w:val="ListParagraph"/>
        <w:numPr>
          <w:ilvl w:val="0"/>
          <w:numId w:val="2"/>
        </w:numPr>
      </w:pPr>
      <w:r>
        <w:t>Excellent ability to case-note.</w:t>
      </w:r>
    </w:p>
    <w:p w14:paraId="311C9C15" w14:textId="77777777" w:rsidR="00796B33" w:rsidRDefault="00796B33" w:rsidP="00796B33">
      <w:pPr>
        <w:pStyle w:val="ListParagraph"/>
        <w:numPr>
          <w:ilvl w:val="0"/>
          <w:numId w:val="2"/>
        </w:numPr>
      </w:pPr>
      <w:r>
        <w:t xml:space="preserve">Superior ability to multi-task in a </w:t>
      </w:r>
      <w:proofErr w:type="gramStart"/>
      <w:r>
        <w:t>fast paced</w:t>
      </w:r>
      <w:proofErr w:type="gramEnd"/>
      <w:r>
        <w:t xml:space="preserve"> environment.</w:t>
      </w:r>
    </w:p>
    <w:p w14:paraId="0DB5F040" w14:textId="77777777" w:rsidR="00796B33" w:rsidRDefault="00796B33" w:rsidP="00796B33">
      <w:pPr>
        <w:pStyle w:val="ListParagraph"/>
        <w:numPr>
          <w:ilvl w:val="0"/>
          <w:numId w:val="2"/>
        </w:numPr>
      </w:pPr>
      <w:r>
        <w:t>Valid Class G Driver’s License.</w:t>
      </w:r>
    </w:p>
    <w:p w14:paraId="3432AB65" w14:textId="143837AC" w:rsidR="00796B33" w:rsidRDefault="00796B33" w:rsidP="00796B33">
      <w:pPr>
        <w:pStyle w:val="ListParagraph"/>
        <w:numPr>
          <w:ilvl w:val="0"/>
          <w:numId w:val="2"/>
        </w:numPr>
      </w:pPr>
      <w:r>
        <w:t>Indigenous person preferred</w:t>
      </w:r>
      <w:r w:rsidR="00916BAB">
        <w:t>, with a lived experience as an indigenous parent.</w:t>
      </w:r>
    </w:p>
    <w:p w14:paraId="045CE5A9" w14:textId="3EDC9A26" w:rsidR="005E38FC" w:rsidRDefault="00796B33" w:rsidP="005E38FC">
      <w:pPr>
        <w:pStyle w:val="ListParagraph"/>
        <w:numPr>
          <w:ilvl w:val="0"/>
          <w:numId w:val="2"/>
        </w:numPr>
      </w:pPr>
      <w:r>
        <w:t>There are many other certifications that are required, once hired</w:t>
      </w:r>
      <w:r w:rsidR="005E38FC">
        <w:t>.</w:t>
      </w:r>
    </w:p>
    <w:p w14:paraId="0CC65E6C" w14:textId="77777777" w:rsidR="00796B33" w:rsidRDefault="00796B33" w:rsidP="00796B33"/>
    <w:p w14:paraId="602C5207" w14:textId="15EAAB70" w:rsidR="00796B33" w:rsidRDefault="00796B33" w:rsidP="00796B33">
      <w:r>
        <w:t xml:space="preserve">Please send applications with cover letter, resume and copies of any diplomas/certificates </w:t>
      </w:r>
      <w:r w:rsidR="005E38FC">
        <w:t>by Thursday, February 6</w:t>
      </w:r>
      <w:r w:rsidR="005E38FC" w:rsidRPr="005E38FC">
        <w:rPr>
          <w:vertAlign w:val="superscript"/>
        </w:rPr>
        <w:t>th</w:t>
      </w:r>
      <w:r w:rsidR="005E38FC">
        <w:t xml:space="preserve"> to:</w:t>
      </w:r>
    </w:p>
    <w:p w14:paraId="017B07B8" w14:textId="30FC6A69" w:rsidR="00796B33" w:rsidRDefault="00796B33" w:rsidP="005E38FC">
      <w:pPr>
        <w:jc w:val="center"/>
      </w:pPr>
      <w:hyperlink r:id="rId9" w:history="1">
        <w:r w:rsidRPr="005B3F8D">
          <w:rPr>
            <w:rStyle w:val="Hyperlink"/>
          </w:rPr>
          <w:t>hr@nimkee.org</w:t>
        </w:r>
      </w:hyperlink>
    </w:p>
    <w:p w14:paraId="38CC3CB8" w14:textId="20917837" w:rsidR="00796B33" w:rsidRDefault="00796B33" w:rsidP="005E38FC">
      <w:pPr>
        <w:jc w:val="center"/>
      </w:pPr>
      <w:r>
        <w:t>519-</w:t>
      </w:r>
      <w:r w:rsidR="005E38FC">
        <w:t>317-0442 Dave Trudel</w:t>
      </w:r>
    </w:p>
    <w:p w14:paraId="2F4E1E74" w14:textId="77777777" w:rsidR="005E38FC" w:rsidRDefault="005E38FC" w:rsidP="00796B33"/>
    <w:p w14:paraId="31FBB207" w14:textId="77777777" w:rsidR="00796B33" w:rsidRDefault="00796B33" w:rsidP="00796B33"/>
    <w:sectPr w:rsidR="00796B33" w:rsidSect="005E38FC">
      <w:pgSz w:w="12240" w:h="15840"/>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623BF7"/>
    <w:multiLevelType w:val="hybridMultilevel"/>
    <w:tmpl w:val="87F07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E4C6F30"/>
    <w:multiLevelType w:val="hybridMultilevel"/>
    <w:tmpl w:val="A45AB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6662883">
    <w:abstractNumId w:val="1"/>
  </w:num>
  <w:num w:numId="2" w16cid:durableId="185422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A7"/>
    <w:rsid w:val="00090729"/>
    <w:rsid w:val="001B1E4F"/>
    <w:rsid w:val="003375B9"/>
    <w:rsid w:val="005E38FC"/>
    <w:rsid w:val="007322A7"/>
    <w:rsid w:val="00796B33"/>
    <w:rsid w:val="00811DD1"/>
    <w:rsid w:val="00916BAB"/>
    <w:rsid w:val="00931328"/>
    <w:rsid w:val="00C94BC5"/>
    <w:rsid w:val="00F31F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F74C"/>
  <w15:chartTrackingRefBased/>
  <w15:docId w15:val="{697BA0DC-F1E9-45E8-8091-F744FA06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2A7"/>
    <w:rPr>
      <w:rFonts w:eastAsiaTheme="majorEastAsia" w:cstheme="majorBidi"/>
      <w:color w:val="272727" w:themeColor="text1" w:themeTint="D8"/>
    </w:rPr>
  </w:style>
  <w:style w:type="paragraph" w:styleId="Title">
    <w:name w:val="Title"/>
    <w:basedOn w:val="Normal"/>
    <w:next w:val="Normal"/>
    <w:link w:val="TitleChar"/>
    <w:uiPriority w:val="10"/>
    <w:qFormat/>
    <w:rsid w:val="00732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2A7"/>
    <w:pPr>
      <w:spacing w:before="160"/>
      <w:jc w:val="center"/>
    </w:pPr>
    <w:rPr>
      <w:i/>
      <w:iCs/>
      <w:color w:val="404040" w:themeColor="text1" w:themeTint="BF"/>
    </w:rPr>
  </w:style>
  <w:style w:type="character" w:customStyle="1" w:styleId="QuoteChar">
    <w:name w:val="Quote Char"/>
    <w:basedOn w:val="DefaultParagraphFont"/>
    <w:link w:val="Quote"/>
    <w:uiPriority w:val="29"/>
    <w:rsid w:val="007322A7"/>
    <w:rPr>
      <w:i/>
      <w:iCs/>
      <w:color w:val="404040" w:themeColor="text1" w:themeTint="BF"/>
    </w:rPr>
  </w:style>
  <w:style w:type="paragraph" w:styleId="ListParagraph">
    <w:name w:val="List Paragraph"/>
    <w:basedOn w:val="Normal"/>
    <w:uiPriority w:val="34"/>
    <w:qFormat/>
    <w:rsid w:val="007322A7"/>
    <w:pPr>
      <w:ind w:left="720"/>
      <w:contextualSpacing/>
    </w:pPr>
  </w:style>
  <w:style w:type="character" w:styleId="IntenseEmphasis">
    <w:name w:val="Intense Emphasis"/>
    <w:basedOn w:val="DefaultParagraphFont"/>
    <w:uiPriority w:val="21"/>
    <w:qFormat/>
    <w:rsid w:val="007322A7"/>
    <w:rPr>
      <w:i/>
      <w:iCs/>
      <w:color w:val="0F4761" w:themeColor="accent1" w:themeShade="BF"/>
    </w:rPr>
  </w:style>
  <w:style w:type="paragraph" w:styleId="IntenseQuote">
    <w:name w:val="Intense Quote"/>
    <w:basedOn w:val="Normal"/>
    <w:next w:val="Normal"/>
    <w:link w:val="IntenseQuoteChar"/>
    <w:uiPriority w:val="30"/>
    <w:qFormat/>
    <w:rsid w:val="00732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2A7"/>
    <w:rPr>
      <w:i/>
      <w:iCs/>
      <w:color w:val="0F4761" w:themeColor="accent1" w:themeShade="BF"/>
    </w:rPr>
  </w:style>
  <w:style w:type="character" w:styleId="IntenseReference">
    <w:name w:val="Intense Reference"/>
    <w:basedOn w:val="DefaultParagraphFont"/>
    <w:uiPriority w:val="32"/>
    <w:qFormat/>
    <w:rsid w:val="007322A7"/>
    <w:rPr>
      <w:b/>
      <w:bCs/>
      <w:smallCaps/>
      <w:color w:val="0F4761" w:themeColor="accent1" w:themeShade="BF"/>
      <w:spacing w:val="5"/>
    </w:rPr>
  </w:style>
  <w:style w:type="character" w:styleId="Hyperlink">
    <w:name w:val="Hyperlink"/>
    <w:basedOn w:val="DefaultParagraphFont"/>
    <w:uiPriority w:val="99"/>
    <w:unhideWhenUsed/>
    <w:rsid w:val="00796B33"/>
    <w:rPr>
      <w:color w:val="467886" w:themeColor="hyperlink"/>
      <w:u w:val="single"/>
    </w:rPr>
  </w:style>
  <w:style w:type="character" w:styleId="UnresolvedMention">
    <w:name w:val="Unresolved Mention"/>
    <w:basedOn w:val="DefaultParagraphFont"/>
    <w:uiPriority w:val="99"/>
    <w:semiHidden/>
    <w:unhideWhenUsed/>
    <w:rsid w:val="0079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0.wdp"/><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nimk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Monague</dc:creator>
  <cp:keywords/>
  <dc:description/>
  <cp:lastModifiedBy>Office5</cp:lastModifiedBy>
  <cp:revision>2</cp:revision>
  <dcterms:created xsi:type="dcterms:W3CDTF">2025-01-28T20:18:00Z</dcterms:created>
  <dcterms:modified xsi:type="dcterms:W3CDTF">2025-01-28T20:18:00Z</dcterms:modified>
</cp:coreProperties>
</file>